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b/>
          <w:color w:val="0B2A4A"/>
          <w:sz w:val="32"/>
        </w:rPr>
        <w:t>KULLANICI SÖZLEŞMESİ</w:t>
      </w:r>
    </w:p>
    <w:p>
      <w:pPr>
        <w:spacing w:after="200"/>
        <w:jc w:val="center"/>
      </w:pPr>
      <w:r>
        <w:rPr>
          <w:color w:val="0B2A4A"/>
          <w:sz w:val="22"/>
        </w:rPr>
        <w:t>www.odevoyunablasi.com ve www.tikladers.com</w:t>
      </w:r>
    </w:p>
    <w:p>
      <w:pPr>
        <w:spacing w:before="200" w:after="80"/>
      </w:pPr>
      <w:r>
        <w:rPr>
          <w:b/>
          <w:color w:val="0B2A4A"/>
          <w:sz w:val="24"/>
        </w:rPr>
        <w:t>TARAFLAR VE İLETİŞİM BİLGİLERİ</w:t>
      </w:r>
    </w:p>
    <w:p>
      <w:r>
        <w:rPr>
          <w:b w:val="0"/>
        </w:rPr>
        <w:t>İşbu metin, aşağıda bilgileri yer alan Şirket tarafından işletilen www.odevoyunablasi.com ve www.tikladers.com internet siteleri ile bu Şirket’e ait mobil uygulama(lar) (birlikte “Web Sitesi”, “Uygulama” veya “Platform”) üzerinden sunulan hizmetler için düzenlenmiştir. İşbu metindeki tüm hüküm ve koşullar, hizmetlerin internet siteleri üzerinden mi yoksa mobil uygulama üzerinden mi kullanıldığına bakılmaksızın aynen geçerlidir.</w:t>
      </w:r>
    </w:p>
    <w:p>
      <w:r>
        <w:rPr>
          <w:b/>
        </w:rPr>
        <w:t>Unvan: TIKLA DERS BİLGİ TEKNOLOJİLERİ PAZARLAMA TİCARET LİMİTED ŞİRKETİ (bundan sonra “Şirket” olarak anılacaktır).</w:t>
      </w:r>
    </w:p>
    <w:p>
      <w:pPr>
        <w:ind w:left="454"/>
      </w:pPr>
      <w:r>
        <w:rPr>
          <w:b/>
        </w:rPr>
        <w:t xml:space="preserve">•  </w:t>
      </w:r>
      <w:r>
        <w:t>Adres: Kemalpaşa Mah. 1351 Cad. No: 70 İç Kapı No: 3 Söke / Aydın</w:t>
      </w:r>
    </w:p>
    <w:p>
      <w:pPr>
        <w:ind w:left="454"/>
      </w:pPr>
      <w:r>
        <w:rPr>
          <w:b/>
        </w:rPr>
        <w:t xml:space="preserve">•  </w:t>
      </w:r>
      <w:r>
        <w:t>MERSİS No: 0843092950600001</w:t>
      </w:r>
    </w:p>
    <w:p>
      <w:pPr>
        <w:ind w:left="454"/>
      </w:pPr>
      <w:r>
        <w:rPr>
          <w:b/>
        </w:rPr>
        <w:t xml:space="preserve">•  </w:t>
      </w:r>
      <w:r>
        <w:t>Ticaret Sicil Müdürlüğü / No: Söke / 7998</w:t>
      </w:r>
    </w:p>
    <w:p>
      <w:pPr>
        <w:ind w:left="454"/>
      </w:pPr>
      <w:r>
        <w:rPr>
          <w:b/>
        </w:rPr>
        <w:t xml:space="preserve">•  </w:t>
      </w:r>
      <w:r>
        <w:t>Vergi Dairesi / Vergi Kimlik No: Söke / 8430929506</w:t>
      </w:r>
    </w:p>
    <w:p>
      <w:pPr>
        <w:ind w:left="454"/>
      </w:pPr>
      <w:r>
        <w:rPr>
          <w:b/>
        </w:rPr>
        <w:t xml:space="preserve">•  </w:t>
      </w:r>
      <w:r>
        <w:t>E-posta: iletisim@tikladers.com</w:t>
      </w:r>
    </w:p>
    <w:p>
      <w:pPr>
        <w:ind w:left="454"/>
      </w:pPr>
      <w:r>
        <w:rPr>
          <w:b/>
        </w:rPr>
        <w:t xml:space="preserve">•  </w:t>
      </w:r>
      <w:r>
        <w:t>Telefon: +90 542 465 0674</w:t>
      </w:r>
    </w:p>
    <w:p>
      <w:pPr>
        <w:spacing w:before="200" w:after="80"/>
      </w:pPr>
      <w:r>
        <w:rPr>
          <w:b/>
          <w:color w:val="0B2A4A"/>
          <w:sz w:val="24"/>
        </w:rPr>
        <w:t>1. TANIMLAR</w:t>
      </w:r>
    </w:p>
    <w:p>
      <w:r>
        <w:rPr>
          <w:b/>
        </w:rPr>
        <w:t xml:space="preserve">1.1.  </w:t>
      </w:r>
      <w:r>
        <w:t>Şirket: TIKLA DERS BİLGİ TEKNOLOJİLERİ PAZARLAMA TİCARET LİMİTED ŞİRKETİ.</w:t>
      </w:r>
    </w:p>
    <w:p>
      <w:r>
        <w:rPr>
          <w:b/>
        </w:rPr>
        <w:t xml:space="preserve">1.2.  </w:t>
      </w:r>
      <w:r>
        <w:t>Web Sitesi / Platform: www.odevoyunablasi.com ve www.tikladers.com alan adlı internet siteleri ve mobil uygulamaları.</w:t>
      </w:r>
    </w:p>
    <w:p>
      <w:r>
        <w:rPr>
          <w:b/>
        </w:rPr>
        <w:t xml:space="preserve">1.3.  </w:t>
      </w:r>
      <w:r>
        <w:t>Kullanıcı: Web Sitesi’ne erişen, siteyi görüntüleyen veya kullanan her gerçek/tüzel kişi.</w:t>
      </w:r>
    </w:p>
    <w:p>
      <w:r>
        <w:rPr>
          <w:b/>
        </w:rPr>
        <w:t xml:space="preserve">1.4.  </w:t>
      </w:r>
      <w:r>
        <w:t>Üye: Web Sitesi’nde hesap oluşturan Kullanıcı.</w:t>
      </w:r>
    </w:p>
    <w:p>
      <w:r>
        <w:rPr>
          <w:b/>
        </w:rPr>
        <w:t xml:space="preserve">1.5.  </w:t>
      </w:r>
      <w:r>
        <w:t>Hizmet Veren: Platform üzerinde ders/hizmet ilanı yayınlayan Üye (örn. özel ders veren eğitmen).</w:t>
      </w:r>
    </w:p>
    <w:p>
      <w:r>
        <w:rPr>
          <w:b/>
        </w:rPr>
        <w:t xml:space="preserve">1.6.  </w:t>
      </w:r>
      <w:r>
        <w:t>Hizmet Alan: Platform üzerinden ilan/hizmet talep eden Üye.</w:t>
      </w:r>
    </w:p>
    <w:p>
      <w:r>
        <w:rPr>
          <w:b/>
        </w:rPr>
        <w:t xml:space="preserve">1.7.  </w:t>
      </w:r>
      <w:r>
        <w:t>Dijital Eğitici Oyun Kartları: Şirket tarafından hazırlanan, dijital ortamda satışa sunulan ve elektronik olarak (e-posta yoluyla) teslim edilen eğitici içerikler.</w:t>
      </w:r>
    </w:p>
    <w:p>
      <w:pPr>
        <w:spacing w:before="200" w:after="80"/>
      </w:pPr>
      <w:r>
        <w:rPr>
          <w:b/>
          <w:color w:val="0B2A4A"/>
          <w:sz w:val="24"/>
        </w:rPr>
        <w:t>2. SÖZLEŞMENİN KONUSU VE KAPSAMI</w:t>
      </w:r>
    </w:p>
    <w:p>
      <w:r>
        <w:rPr>
          <w:b/>
        </w:rPr>
        <w:t xml:space="preserve">2.1.  </w:t>
      </w:r>
      <w:r>
        <w:t>İşbu Kullanıcı Sözleşmesi (“Sözleşme”); Web Sitesi üzerinden sunulan ilan yayınlama hizmetleri ile Dijital Eğitici Oyun Kartları satışına ilişkin şart ve koşulları ve Web Sitesi’nin kullanımına ilişkin kuralları düzenler.</w:t>
      </w:r>
    </w:p>
    <w:p>
      <w:r>
        <w:rPr>
          <w:b/>
        </w:rPr>
        <w:t xml:space="preserve">2.2.  </w:t>
      </w:r>
      <w:r>
        <w:t>Kullanıcı; Web Sitesi’ne erişerek, siteyi görüntüleyerek veya kullanarak, işbu Sözleşme koşullarını okuduğunu, anladığını ve bunlarla bağlı olacağını kabul eder. Koşullar uygun değilse Web Sitesi ve hizmetler kullanılmamalıdır.</w:t>
      </w:r>
    </w:p>
    <w:p>
      <w:r>
        <w:rPr>
          <w:b/>
        </w:rPr>
        <w:t xml:space="preserve">2.3.  </w:t>
      </w:r>
      <w:r>
        <w:t>Gizliliğe ilişkin esaslar “Gizlilik Politikası”nda; teslimat, cayma ve iade esasları “Teslimat ve İade Sözleşmesi”nde düzenlenmiş olup, bu metinler işbu Sözleşme’nin ayrılmaz parçasıdır.</w:t>
      </w:r>
    </w:p>
    <w:p>
      <w:r>
        <w:rPr>
          <w:b/>
        </w:rPr>
        <w:t xml:space="preserve">2.4.  </w:t>
      </w:r>
      <w:r>
        <w:t>Şirket, işbu Sözleşme’de ve sitede yer alan diğer metinlerde değişiklik yapabilir. Kullanıcı aleyhine sonuç doğuran esaslı değişiklikler, yürürlüğe girmeden önce Web Sitesi/Uygulama üzerinden veya e-posta ile Kullanıcı’ya bildirilir ve ileriye dönük olarak uygulanır. Değişikliklerin ardından hizmeti kullanmaya devam eden Kullanıcı güncel koşulları kabul etmiş sayılır; kabul etmeyen Kullanıcı üyeliğini sonlandırabilir.</w:t>
      </w:r>
    </w:p>
    <w:p>
      <w:pPr>
        <w:spacing w:before="200" w:after="80"/>
      </w:pPr>
      <w:r>
        <w:rPr>
          <w:b/>
          <w:color w:val="0B2A4A"/>
          <w:sz w:val="24"/>
        </w:rPr>
        <w:t>3. PLATFORMUN NİTELİĞİ</w:t>
      </w:r>
    </w:p>
    <w:p>
      <w:r>
        <w:rPr>
          <w:b/>
        </w:rPr>
        <w:t xml:space="preserve">3.1.  </w:t>
      </w:r>
      <w:r>
        <w:t>Şirket; ilan hizmetleri bakımından bir ilan ve tanıtım platformudur. Web Sitesi, Hizmet Verenlerin ders/hizmet ilanlarını yayınlamalarına ve Hizmet Alanların bu ilanlara erişmelerine imkân tanır. İlan içerikleri Üyeler tarafından oluşturulur. Şirket, Hizmet Veren ile Hizmet Alan arasındaki hizmet ilişkisinin tarafı değildir; söz konusu hizmetin sahibi, sağlayıcısı veya satıcısı değildir.</w:t>
      </w:r>
    </w:p>
    <w:p>
      <w:r>
        <w:rPr>
          <w:b/>
        </w:rPr>
        <w:t xml:space="preserve">3.2.  </w:t>
      </w:r>
      <w:r>
        <w:t>Şirket, Web Sitesi üzerindeki Üye içerikleri bakımından 5651 sayılı İnternet Ortamında Yapılan Yayınların Düzenlenmesi ve Bu Yayınlar Yoluyla İşlenen Suçlarla Mücadele Edilmesi Hakkında Kanun kapsamında yer sağlayıcı konumundadır. Bu sıfatla Şirket, Üyeler tarafından oluşturulan içeriği kontrol etmek veya içeriğe konu bir hukuka aykırılık bulunup bulunmadığını araştırmakla yükümlü değildir; yalnızca kendisine usulüne uygun olarak bildirilen ve teknik olarak imkân dâhilinde olan hukuka aykırı içeriği yayından kaldırmakla yükümlüdür.</w:t>
      </w:r>
    </w:p>
    <w:p>
      <w:r>
        <w:rPr>
          <w:b/>
        </w:rPr>
        <w:t xml:space="preserve">3.3.  </w:t>
      </w:r>
      <w:r>
        <w:t>Şirket, 5580 sayılı Özel Öğretim Kurumları Kanunu kapsamında bir KURUM değildir; eğitim-öğretim faaliyeti yürütmez. Üyelerin kendilerini “öğretmen/eğitmen” olarak tanımlaması kendi sorumluluklarındadır.</w:t>
      </w:r>
    </w:p>
    <w:p>
      <w:r>
        <w:rPr>
          <w:b/>
        </w:rPr>
        <w:t xml:space="preserve">3.4.  </w:t>
      </w:r>
      <w:r>
        <w:t>Dijital Eğitici Oyun Kartları bakımından ise Şirket, bu ürünlerin sahibi ve satıcısıdır; bu ürünlere ilişkin satış işlemi doğrudan Şirket ile Kullanıcı arasında kurulur.</w:t>
      </w:r>
    </w:p>
    <w:p>
      <w:pPr>
        <w:spacing w:before="200" w:after="80"/>
      </w:pPr>
      <w:r>
        <w:rPr>
          <w:b/>
          <w:color w:val="0B2A4A"/>
          <w:sz w:val="24"/>
        </w:rPr>
        <w:t>4. ÜYELİK VE GENEL KULLANIM KURALLARI</w:t>
      </w:r>
    </w:p>
    <w:p>
      <w:r>
        <w:rPr>
          <w:b w:val="0"/>
        </w:rPr>
        <w:t>Üyeler, üyelik oluşturduktan sonra aşağıdaki kurallara uymayı kabul etmiş sayılır. Kurallara aykırılık tespit edilmesi hâlinde hesap incelemeye alınabilir, askıya alınabilir veya kapatılabilir; gerekli hâllerde bilgiler adli makamlarla paylaşılabilir.</w:t>
      </w:r>
    </w:p>
    <w:p>
      <w:r>
        <w:rPr>
          <w:b/>
        </w:rPr>
        <w:t xml:space="preserve">4.1.  </w:t>
      </w:r>
      <w:r>
        <w:t>Kullanıcı içeriklerinde hakaret içeren, küçük düşürücü, müstehcen, kötü niyetli, saldırı amaçlı ve üçüncü şahısların hak ve hukukunu ihlal edici ifadeler kullanılamaz.</w:t>
      </w:r>
    </w:p>
    <w:p>
      <w:r>
        <w:rPr>
          <w:b/>
        </w:rPr>
        <w:t xml:space="preserve">4.2.  </w:t>
      </w:r>
      <w:r>
        <w:t>Suç teşkil edecek, yasal takip gerektirecek ya da yerel/ulusal/uluslararası yasalara aykırı, tehditkâr, hakaret içeren, genel ahlaka ve sitenin amacına aykırı bilgi yayımlanamaz ve iletilemez.</w:t>
      </w:r>
    </w:p>
    <w:p>
      <w:r>
        <w:rPr>
          <w:b/>
        </w:rPr>
        <w:t xml:space="preserve">4.3.  </w:t>
      </w:r>
      <w:r>
        <w:t>Başka bir Üye ile alaycı, kötü niyetli, hakaret veya küçük düşürücü içerikli mesajlaşma yapılamaz.</w:t>
      </w:r>
    </w:p>
    <w:p>
      <w:r>
        <w:rPr>
          <w:b/>
        </w:rPr>
        <w:t xml:space="preserve">4.4.  </w:t>
      </w:r>
      <w:r>
        <w:t>Üyeler, profil oluştururken verdikleri bilgilerin doğruluğunu kabul eder. Yanlış bilgi tespitinde Şirket işlem yapma hakkına sahiptir.</w:t>
      </w:r>
    </w:p>
    <w:p>
      <w:r>
        <w:rPr>
          <w:b/>
        </w:rPr>
        <w:t xml:space="preserve">4.5.  </w:t>
      </w:r>
      <w:r>
        <w:t>Üyeler, verdikleri genel bilgilere başkalarının ulaşabileceğini kabul eder (isim, soyisim, isteğe bağlı telefon, mezuniyet/tecrübe bilgisi vb.).</w:t>
      </w:r>
    </w:p>
    <w:p>
      <w:r>
        <w:rPr>
          <w:b/>
        </w:rPr>
        <w:t xml:space="preserve">4.6.  </w:t>
      </w:r>
      <w:r>
        <w:t>Başkasının gizlilik veya yayın haklarını, telif/ticari marka veya diğer mülkiyet haklarını ihlal eden içerik izinsiz yayımlanamaz veya iletilemez.</w:t>
      </w:r>
    </w:p>
    <w:p>
      <w:r>
        <w:rPr>
          <w:b/>
        </w:rPr>
        <w:t xml:space="preserve">4.7.  </w:t>
      </w:r>
      <w:r>
        <w:t>Hizmet Verenlerin belirttiği bilgilerin doğruluğunu teyit etmek ve referans takibi yapmak Üyelerin sorumluluğundadır.</w:t>
      </w:r>
    </w:p>
    <w:p>
      <w:r>
        <w:rPr>
          <w:b/>
        </w:rPr>
        <w:t xml:space="preserve">4.8.  </w:t>
      </w:r>
      <w:r>
        <w:t>Sitenin amacı dışında kullanımı, Üye ve Kullanıcıların rahatsız edilmesi yasaktır. Tespiti hâlinde Şirket yasal işlem yapma hakkına sahiptir.</w:t>
      </w:r>
    </w:p>
    <w:p>
      <w:r>
        <w:rPr>
          <w:b/>
        </w:rPr>
        <w:t xml:space="preserve">4.9.  </w:t>
      </w:r>
      <w:r>
        <w:t>Üyeler kural olarak en az 18 yaşında olduğunu teyit eder. 18 yaşından küçüklerin Platform’a üye olması ve/veya ürün satın alması yalnızca ebeveyn/veli onayı ve gözetimi ile mümkündür; bu hâlde işlemi yapan veli sözleşmenin tarafı ve sorumlusu kabul edilir. Küçüklere ait kişisel veriler ebeveyn/veli açık rızası kapsamında işlenir.</w:t>
      </w:r>
    </w:p>
    <w:p>
      <w:r>
        <w:rPr>
          <w:b/>
        </w:rPr>
        <w:t xml:space="preserve">4.10.  </w:t>
      </w:r>
      <w:r>
        <w:t>Site kullanıcılar içindir; şirket/işletme/örgütler hizmetleri sitenin amacı dışında ticari amaçla kullanamaz. Sitedeki bilgi, fotoğraf, video ve linkler başka bir ürün/hizmet için kopyalanamaz.</w:t>
      </w:r>
    </w:p>
    <w:p>
      <w:r>
        <w:rPr>
          <w:b/>
        </w:rPr>
        <w:t xml:space="preserve">4.11.  </w:t>
      </w:r>
      <w:r>
        <w:t>Üyelik kişiye özeldir; ödünç verilemez veya devredilemez.</w:t>
      </w:r>
    </w:p>
    <w:p>
      <w:r>
        <w:rPr>
          <w:b/>
        </w:rPr>
        <w:t xml:space="preserve">4.12.  </w:t>
      </w:r>
      <w:r>
        <w:t>Şifrenin seçimi ve korunması Üyenin sorumluluğundadır. Şirket, şifre kullanımından doğacak sorunlardan sorumlu değildir.</w:t>
      </w:r>
    </w:p>
    <w:p>
      <w:r>
        <w:rPr>
          <w:b/>
        </w:rPr>
        <w:t xml:space="preserve">4.13.  </w:t>
      </w:r>
      <w:r>
        <w:t>Profil bilgileri (isim, soyisim, branş, tanıtım metni, fotoğraf, ders verilen branş/yerler) tam ve doğru girilmelidir; aksi hâlde hesap onaylanmayabilir.</w:t>
      </w:r>
    </w:p>
    <w:p>
      <w:r>
        <w:rPr>
          <w:b/>
        </w:rPr>
        <w:t xml:space="preserve">4.14.  </w:t>
      </w:r>
      <w:r>
        <w:t>Şirket; hukuka aykırılık, işbu Sözleşme’ye aykırılık veya teknik zorunluluk hâllerinde Üyelerin profil sayfalarında düzenleme yapabilir veya içeriği yayından kaldırabilir. Mümkün olduğunda Üye bu konuda bilgilendirilir.</w:t>
      </w:r>
    </w:p>
    <w:p>
      <w:r>
        <w:rPr>
          <w:b/>
        </w:rPr>
        <w:t xml:space="preserve">4.15.  </w:t>
      </w:r>
      <w:r>
        <w:t>Üyelik sırasında verilen e-posta adresinin Üyeye ait ve aktif olması esastır; tüm yazışmalarda bu adres esas alınır.</w:t>
      </w:r>
    </w:p>
    <w:p>
      <w:r>
        <w:rPr>
          <w:b/>
        </w:rPr>
        <w:t xml:space="preserve">4.16.  </w:t>
      </w:r>
      <w:r>
        <w:t>İsteğe bağlı verilen telefon numarasının doğruluğu Üyenin sorumluluğundadır.</w:t>
      </w:r>
    </w:p>
    <w:p>
      <w:r>
        <w:rPr>
          <w:b/>
        </w:rPr>
        <w:t xml:space="preserve">4.17.  </w:t>
      </w:r>
      <w:r>
        <w:t>Hizmet Veren profiline yapılan yorumlar uygun görülmesi hâlinde onaylanır; alaycı, hakaret veya küçük düşürücü yorumlar kabul edilemez.</w:t>
      </w:r>
    </w:p>
    <w:p>
      <w:r>
        <w:rPr>
          <w:b/>
        </w:rPr>
        <w:t xml:space="preserve">4.18.  </w:t>
      </w:r>
      <w:r>
        <w:t>Şirket, üyelik ve hizmetin ifasıyla ilgili zorunlu bilgilendirme iletilerini (işlem/servis bildirimleri) gönderebilir. Tanıtım, kampanya ve pazarlama içeren ticari elektronik iletiler ise yalnızca Üyenin 6563 sayılı Kanun ve İleti Yönetim Sistemi (İYS) kapsamında önceden vereceği ayrı ve açık onaya bağlı olarak gönderilir; Üye bu onayı dilediği zaman ücretsiz geri alabilir.</w:t>
      </w:r>
    </w:p>
    <w:p>
      <w:r>
        <w:rPr>
          <w:b/>
        </w:rPr>
        <w:t xml:space="preserve">4.19.  </w:t>
      </w:r>
      <w:r>
        <w:t>Ders/hizmet talebinde bulunanların iletişim bilgileri veya sistem üzerinden ders/hizmet dışı amaçla iletişime geçen Üyelerin hesabı kapatılabilir.</w:t>
      </w:r>
    </w:p>
    <w:p>
      <w:r>
        <w:rPr>
          <w:b/>
        </w:rPr>
        <w:t xml:space="preserve">4.20.  </w:t>
      </w:r>
      <w:r>
        <w:t>Ders/hizmet talebine uygun dönüş aldıktan sonra talebini sistemden kaldırmayan Üyelerden doğacak sorunlardan Şirket sorumlu değildir.</w:t>
      </w:r>
    </w:p>
    <w:p>
      <w:pPr>
        <w:spacing w:before="200" w:after="80"/>
      </w:pPr>
      <w:r>
        <w:rPr>
          <w:b/>
          <w:color w:val="0B2A4A"/>
          <w:sz w:val="24"/>
        </w:rPr>
        <w:t>5. DİJİTAL EĞİTİCİ OYUN KARTLARI – SATIŞ, TESLİMAT VE KULLANIM</w:t>
      </w:r>
    </w:p>
    <w:p>
      <w:r>
        <w:rPr>
          <w:b/>
        </w:rPr>
        <w:t xml:space="preserve">5.1.  </w:t>
      </w:r>
      <w:r>
        <w:t>Dijital Eğitici Oyun Kartları, Şirket tarafından hazırlanan ve Web Sitesi üzerinden satışa sunulan dijital içeriklerdir. Bu ürünler yalnızca dijital ortamda sunulur.</w:t>
      </w:r>
    </w:p>
    <w:p>
      <w:r>
        <w:rPr>
          <w:b/>
        </w:rPr>
        <w:t xml:space="preserve">5.2.  </w:t>
      </w:r>
      <w:r>
        <w:t>TESLİMAT ŞEKLİ: Dijital Eğitici Oyun Kartları, hiçbir şekilde basılı/fiziksel olarak gönderilmez. Ürünler, satın alma işleminin tamamlanmasının ardından Kullanıcı’nın sipariş sırasında bildirdiği e-posta adresine dijital ortamda (elektronik dosya/indirme bağlantısı olarak) gönderilmek suretiyle teslim edilir.</w:t>
      </w:r>
    </w:p>
    <w:p>
      <w:r>
        <w:rPr>
          <w:b/>
        </w:rPr>
        <w:t xml:space="preserve">5.3.  </w:t>
      </w:r>
      <w:r>
        <w:t>Kullanıcı, e-posta adresinin doğru ve aktif olmasından bizzat sorumludur. Yanlış veya erişilemez e-posta adresi bildirilmesi nedeniyle teslimatın gerçekleşmemesinden Şirket sorumlu tutulamaz.</w:t>
      </w:r>
    </w:p>
    <w:p>
      <w:r>
        <w:rPr>
          <w:b/>
        </w:rPr>
        <w:t xml:space="preserve">5.4.  </w:t>
      </w:r>
      <w:r>
        <w:t>ÇOĞALTMA VE YENİDEN SATIŞ YASAĞI: Dijital Eğitici Oyun Kartları’nın satın alınması, Kullanıcı’ya yalnızca kişisel ve ticari olmayan kullanım için sınırlı, münhasır olmayan ve devredilemez bir kullanım hakkı tanır. Bu ürünlerin tamamının veya bir kısmının kopyalanması, çoğaltılması, kaydedilmesi, dağıtılması, kiralanması, kamuya açık şekilde paylaşılması, başka mecralarda yayımlanması ve üçüncü kişilere satılması, yeniden satışa sunulması veya devredilmesi KESİNLİKLE YASAKTIR.</w:t>
      </w:r>
    </w:p>
    <w:p>
      <w:r>
        <w:rPr>
          <w:b/>
        </w:rPr>
        <w:t xml:space="preserve">5.5.  </w:t>
      </w:r>
      <w:r>
        <w:t>Bu ürünlere ilişkin tüm fikri ve sınai mülkiyet hakları münhasıran Şirket’e aittir. Yukarıdaki yasaklara aykırılık hâlinde Şirket; hesabı kapatma, satışı iptal etme ve uğradığı her türlü zarar için hukuki ve cezai yollara başvurma hakkını saklı tutar.</w:t>
      </w:r>
    </w:p>
    <w:p>
      <w:r>
        <w:rPr>
          <w:b/>
        </w:rPr>
        <w:t xml:space="preserve">5.6.  </w:t>
      </w:r>
      <w:r>
        <w:t>Cayma hakkına ilişkin istisnalar ile teslimat ve iade süreçleri, işbu Sözleşme’nin ayrılmaz parçası olan “Teslimat ve İade Sözleşmesi”nde ayrıca düzenlenmiştir.</w:t>
      </w:r>
    </w:p>
    <w:p>
      <w:pPr>
        <w:spacing w:before="200" w:after="80"/>
      </w:pPr>
      <w:r>
        <w:rPr>
          <w:b/>
          <w:color w:val="0B2A4A"/>
          <w:sz w:val="24"/>
        </w:rPr>
        <w:t>6. FİKRİ MÜLKİYET HAKLARI</w:t>
      </w:r>
    </w:p>
    <w:p>
      <w:r>
        <w:rPr>
          <w:b/>
        </w:rPr>
        <w:t xml:space="preserve">6.1.  </w:t>
      </w:r>
      <w:r>
        <w:t>Web Sitesi’nde yer alan alan adı, logo, grafik, ses, ikon, tasarım, metin, görsel, yazılım, kod, iş metodu ve iş modeli dâhil tüm materyaller ile Dijital Eğitici Oyun Kartları’na ilişkin fikri ve sınai mülkiyet haklarının sahibi veya lisans sahibi Şirket’tir; yasal koruma altındadır.</w:t>
      </w:r>
    </w:p>
    <w:p>
      <w:r>
        <w:rPr>
          <w:b/>
        </w:rPr>
        <w:t xml:space="preserve">6.2.  </w:t>
      </w:r>
      <w:r>
        <w:t>Web Sitesi’nin ve yazılımının kopyalanması, kullanılması veya tersine mühendislik işlemlerine tabi tutulması kesinlikle yasaktır.</w:t>
      </w:r>
    </w:p>
    <w:p>
      <w:r>
        <w:rPr>
          <w:b/>
        </w:rPr>
        <w:t xml:space="preserve">6.3.  </w:t>
      </w:r>
      <w:r>
        <w:t>Kullanıcı, kendi resmi ve portföyü hariç, sitede yer alan herhangi bir unsuru izinsiz veya kaynak göstermeksizin başka bir mecrada yayımlayamaz.</w:t>
      </w:r>
    </w:p>
    <w:p>
      <w:pPr>
        <w:spacing w:before="200" w:after="80"/>
      </w:pPr>
      <w:r>
        <w:rPr>
          <w:b/>
          <w:color w:val="0B2A4A"/>
          <w:sz w:val="24"/>
        </w:rPr>
        <w:t>7. SORUMLULUĞUN SINIRLANDIRILMASI</w:t>
      </w:r>
    </w:p>
    <w:p>
      <w:r>
        <w:rPr>
          <w:b/>
        </w:rPr>
        <w:t xml:space="preserve">7.1.  </w:t>
      </w:r>
      <w:r>
        <w:t>Şirket yalnızca bir ilan ve tanıtım platformudur; Hizmet Alan ile Hizmet Veren arasındaki sözlü/yazılı anlaşmanın tarafı değildir ve bu anlaşmayı garanti etmez. Hizmet alımı esnasında doğabilecek güvenlik vb. sorunlardan Şirket sorumlu değildir.</w:t>
      </w:r>
    </w:p>
    <w:p>
      <w:r>
        <w:rPr>
          <w:b/>
        </w:rPr>
        <w:t xml:space="preserve">7.2.  </w:t>
      </w:r>
      <w:r>
        <w:t>İlan hizmetleri bakımından Platform üzerinden alınacak hizmetlere ilişkin her türlü sorumluluk Hizmet Verenlere aittir. Şirket ile Hizmet Veren arasında istihdam, danışmanlık, yüklenicilik, ortak girişim veya acentelik ilişkisi bulunmaz.</w:t>
      </w:r>
    </w:p>
    <w:p>
      <w:r>
        <w:rPr>
          <w:b/>
        </w:rPr>
        <w:t xml:space="preserve">7.3.  </w:t>
      </w:r>
      <w:r>
        <w:t>Şirket, sistemi geçici olarak askıya alabilir veya durdurabilir; güncellemeler sırasında doğabilecek veri kaybından sorumlu değildir. Kullanıcılar bu nedenle herhangi bir talepte bulunmayacaklarını kabul eder.</w:t>
      </w:r>
    </w:p>
    <w:p>
      <w:r>
        <w:rPr>
          <w:b/>
        </w:rPr>
        <w:t xml:space="preserve">7.4.  </w:t>
      </w:r>
      <w:r>
        <w:t>Şirket, 6698 sayılı Kanun’un 12. maddesi kapsamında kişisel verilerin güvenliğini sağlamaya yönelik uygun teknik ve idari tedbirleri alır. Bir veri güvenliği ihlali hâlinde Şirket, mevzuatın öngördüğü bildirimleri ilgili kişilere ve Kişisel Verileri Koruma Kurulu’na yapar. İşbu madde, mevzuatın emredici hükümlerini saklı tutar.</w:t>
      </w:r>
    </w:p>
    <w:p>
      <w:pPr>
        <w:spacing w:before="200" w:after="80"/>
      </w:pPr>
      <w:r>
        <w:rPr>
          <w:b/>
          <w:color w:val="0B2A4A"/>
          <w:sz w:val="24"/>
        </w:rPr>
        <w:t>8. GİZLİLİK VE KİŞİSEL VERİLER</w:t>
      </w:r>
    </w:p>
    <w:p>
      <w:r>
        <w:rPr>
          <w:b/>
        </w:rPr>
        <w:t xml:space="preserve">8.1.  </w:t>
      </w:r>
      <w:r>
        <w:t>Kişisel verilerin işlenmesine ilişkin esaslar, 6698 sayılı Kişisel Verilerin Korunması Kanunu’na uygun olarak hazırlanan “Gizlilik Politikası”nda düzenlenmiştir. Kullanıcı, işbu Sözleşme’yi kabul etmekle Gizlilik Politikası kapsamındaki aydınlatma metnini okuduğunu beyan eder. Açık rıza gerektiren işlemler (örn. pazarlama amaçlı işleme) için Kullanıcı’nın rızası, hizmetin kullanımına koşul oluşturmaksızın ayrıca ve açıkça alınır.</w:t>
      </w:r>
    </w:p>
    <w:p>
      <w:r>
        <w:rPr>
          <w:b/>
        </w:rPr>
        <w:t xml:space="preserve">8.2.  </w:t>
      </w:r>
      <w:r>
        <w:t>Şirket, kullanıcı bilgilerini ilgili kişinin açık rızası veya kanunda öngörülen bir hukuki sebep olmaksızın üçüncü kişilerle paylaşmaz.</w:t>
      </w:r>
    </w:p>
    <w:p>
      <w:pPr>
        <w:spacing w:before="200" w:after="80"/>
      </w:pPr>
      <w:r>
        <w:rPr>
          <w:b/>
          <w:color w:val="0B2A4A"/>
          <w:sz w:val="24"/>
        </w:rPr>
        <w:t>9. TESLİMAT, CAYMA VE İADE</w:t>
      </w:r>
    </w:p>
    <w:p>
      <w:r>
        <w:rPr>
          <w:b/>
        </w:rPr>
        <w:t xml:space="preserve">9.1.  </w:t>
      </w:r>
      <w:r>
        <w:t>İlan yayınlama hizmetleri ile Dijital Eğitici Oyun Kartları’na ilişkin teslimat, cayma hakkı ve iade koşulları, işbu Sözleşme’nin ayrılmaz parçası olan “Teslimat ve İade Sözleşmesi”nde düzenlenmiştir.</w:t>
      </w:r>
    </w:p>
    <w:p>
      <w:pPr>
        <w:spacing w:before="200" w:after="80"/>
      </w:pPr>
      <w:r>
        <w:rPr>
          <w:b/>
          <w:color w:val="0B2A4A"/>
          <w:sz w:val="24"/>
        </w:rPr>
        <w:t>10. SÖZLEŞMENİN FESHİ</w:t>
      </w:r>
    </w:p>
    <w:p>
      <w:r>
        <w:rPr>
          <w:b/>
        </w:rPr>
        <w:t xml:space="preserve">10.1.  </w:t>
      </w:r>
      <w:r>
        <w:t>Kullanıcıların işbu Sözleşme hükümlerine aykırı davranması hâlinde kullanıcılar, Şirket’in ve üçüncü kişilerin uğrayacağı her türlü zararı karşılamakla yükümlüdür.</w:t>
      </w:r>
    </w:p>
    <w:p>
      <w:r>
        <w:rPr>
          <w:b/>
        </w:rPr>
        <w:t xml:space="preserve">10.2.  </w:t>
      </w:r>
      <w:r>
        <w:t>Şirket, Sözleşme’nin ihlal edildiğini tespit etmesi hâlinde, talep haklarına halel gelmeksizin Sözleşme’yi derhâl tek taraflı feshedebilir, askıya alabilir veya sınırlandırabilir.</w:t>
      </w:r>
    </w:p>
    <w:p>
      <w:r>
        <w:rPr>
          <w:b/>
        </w:rPr>
        <w:t xml:space="preserve">10.3.  </w:t>
      </w:r>
      <w:r>
        <w:t>Taraflar Sözleşme’yi diledikleri zaman sona erdirebilir. Fesih anında tarafların birbirlerinden olan alacak hakları etkilenmez.</w:t>
      </w:r>
    </w:p>
    <w:p>
      <w:pPr>
        <w:spacing w:before="200" w:after="80"/>
      </w:pPr>
      <w:r>
        <w:rPr>
          <w:b/>
          <w:color w:val="0B2A4A"/>
          <w:sz w:val="24"/>
        </w:rPr>
        <w:t>11. UYGULANACAK HUKUK VE YETKİLİ MERCİ</w:t>
      </w:r>
    </w:p>
    <w:p>
      <w:r>
        <w:rPr>
          <w:b/>
        </w:rPr>
        <w:t xml:space="preserve">11.1.  </w:t>
      </w:r>
      <w:r>
        <w:t>İşbu Sözleşme Türkiye Cumhuriyeti hukukuna tabidir.</w:t>
      </w:r>
    </w:p>
    <w:p>
      <w:r>
        <w:rPr>
          <w:b/>
        </w:rPr>
        <w:t xml:space="preserve">11.2.  </w:t>
      </w:r>
      <w:r>
        <w:t>Uyuşmazlıkların çözümünde Türkiye Cumhuriyeti mahkemeleri ve icra daireleri; tüketici işlemleri bakımından ilgili Tüketici Hakem Heyetleri ve Tüketici Mahkemeleri yetkilidir.</w:t>
      </w:r>
    </w:p>
    <w:p>
      <w:r>
        <w:rPr>
          <w:b/>
        </w:rPr>
        <w:t xml:space="preserve">11.3.  </w:t>
      </w:r>
      <w:r>
        <w:t>Herhangi bir uyuşmazlıkta, elektronik ortamdaki veriler HMK m.199 uyarınca belge niteliğindedir.</w:t>
      </w:r>
    </w:p>
    <w:p>
      <w:pPr>
        <w:spacing w:before="200" w:after="80"/>
      </w:pPr>
      <w:r>
        <w:rPr>
          <w:b/>
          <w:color w:val="0B2A4A"/>
          <w:sz w:val="24"/>
        </w:rPr>
        <w:t>12. YÜRÜRLÜK</w:t>
      </w:r>
    </w:p>
    <w:p>
      <w:r>
        <w:rPr>
          <w:b/>
        </w:rPr>
        <w:t xml:space="preserve">12.1.  </w:t>
      </w:r>
      <w:r>
        <w:t>İşbu Sözleşme, Kullanıcı’nın Web Sitesi’ni kullanmaya başladığı veya elektronik ortamda onayladığı anda yürürlüğe girer ve yeni bir sözleşme sunulmadığı sürece yürürlükte kalır.</w:t>
      </w:r>
    </w:p>
    <w:p/>
    <w:p>
      <w:pPr>
        <w:jc w:val="left"/>
      </w:pPr>
      <w:r>
        <w:rPr>
          <w:i/>
          <w:sz w:val="18"/>
        </w:rPr>
        <w:t>Yürürlük Tarihi: 25.07.2026</w:t>
      </w:r>
    </w:p>
    <w:sectPr w:rsidR="00FC693F" w:rsidRPr="0006063C" w:rsidSect="00034616">
      <w:pgSz w:w="12240" w:h="15840"/>
      <w:pgMar w:top="1247" w:right="1247" w:bottom="1247"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jc w:val="both"/>
    </w:pPr>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